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Vaxholm kommunfullmäktige</w:t>
      </w:r>
    </w:p>
    <w:p>
      <w:pPr>
        <w:pStyle w:val="Heading1"/>
      </w:pPr>
      <w:r>
        <w:t xml:space="preserve">Språkstöd och arbetsintegrering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Vaxholm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Andelen utrikes födda är låg men behovet av SFI och arbetsmarknadsåtgärder ökar. Kommunen saknar riktade insatser enligt integrationsrapporten 2023.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Vaxholm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starta en SFI-verksamhet i egen regi eller via avtal.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samverkan med Arbetsförmedlingen förstärks för praktikplatser.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språkcaféer och demokratifostran integreras i verksamheten.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mål för sysselsättning bland nyanlända sätts upp i budgeten.</w:t>
      </w:r>
    </w:p>
    <w:p>
      <w:pPr>
        <w:spacing w:before="360"/>
      </w:pPr>
    </w:p>
    <w:p>
      <w:r>
        <w:t xml:space="preserve">Vaxholm,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Vaxholm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2026-07-14T05:35:54.452Z</dcterms:created>
  <dcterms:modified xsi:type="dcterms:W3CDTF">2026-07-14T05:35:54.452Z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